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8A" w:rsidRPr="00DF5F97" w:rsidRDefault="00FD628A" w:rsidP="00DF5F97">
      <w:pPr>
        <w:spacing w:line="240" w:lineRule="atLeast"/>
        <w:jc w:val="center"/>
        <w:textAlignment w:val="center"/>
        <w:rPr>
          <w:rFonts w:ascii="細明體" w:eastAsia="細明體" w:hAnsi="細明體"/>
          <w:color w:val="000000"/>
          <w:sz w:val="36"/>
          <w:szCs w:val="36"/>
        </w:rPr>
      </w:pPr>
      <w:r w:rsidRPr="00DF5F97">
        <w:rPr>
          <w:rFonts w:ascii="細明體" w:eastAsia="細明體" w:hAnsi="細明體" w:hint="eastAsia"/>
          <w:color w:val="000000"/>
          <w:sz w:val="36"/>
          <w:szCs w:val="36"/>
        </w:rPr>
        <w:t>國立臺東高級中學</w:t>
      </w:r>
      <w:r w:rsidRPr="00DF5F97">
        <w:rPr>
          <w:rFonts w:ascii="細明體" w:eastAsia="細明體" w:hAnsi="細明體"/>
          <w:color w:val="000000"/>
          <w:sz w:val="36"/>
          <w:szCs w:val="36"/>
        </w:rPr>
        <w:t>104</w:t>
      </w:r>
      <w:r w:rsidRPr="00DF5F97">
        <w:rPr>
          <w:rFonts w:ascii="細明體" w:eastAsia="細明體" w:hAnsi="細明體" w:hint="eastAsia"/>
          <w:color w:val="000000"/>
          <w:sz w:val="36"/>
          <w:szCs w:val="36"/>
        </w:rPr>
        <w:t>學年度第一學期</w:t>
      </w:r>
      <w:r w:rsidRPr="00DF5F97">
        <w:rPr>
          <w:rFonts w:ascii="細明體" w:eastAsia="細明體" w:hAnsi="細明體"/>
          <w:color w:val="000000"/>
          <w:sz w:val="36"/>
          <w:szCs w:val="36"/>
        </w:rPr>
        <w:t xml:space="preserve"> </w:t>
      </w:r>
      <w:r w:rsidRPr="00DF5F97">
        <w:rPr>
          <w:rFonts w:ascii="細明體" w:eastAsia="細明體" w:hAnsi="細明體" w:hint="eastAsia"/>
          <w:color w:val="000000"/>
          <w:sz w:val="36"/>
          <w:szCs w:val="36"/>
        </w:rPr>
        <w:t>高一體育科</w:t>
      </w:r>
      <w:r w:rsidRPr="00DF5F97">
        <w:rPr>
          <w:rFonts w:ascii="細明體" w:eastAsia="細明體" w:hAnsi="細明體"/>
          <w:color w:val="000000"/>
          <w:sz w:val="36"/>
          <w:szCs w:val="36"/>
        </w:rPr>
        <w:t xml:space="preserve"> </w:t>
      </w:r>
      <w:r w:rsidRPr="00DF5F97">
        <w:rPr>
          <w:rFonts w:ascii="細明體" w:eastAsia="細明體" w:hAnsi="細明體" w:hint="eastAsia"/>
          <w:color w:val="000000"/>
          <w:sz w:val="36"/>
          <w:szCs w:val="36"/>
        </w:rPr>
        <w:t>期末筆試</w:t>
      </w:r>
    </w:p>
    <w:tbl>
      <w:tblPr>
        <w:tblW w:w="4995" w:type="pct"/>
        <w:tblLook w:val="00A0"/>
      </w:tblPr>
      <w:tblGrid>
        <w:gridCol w:w="1472"/>
        <w:gridCol w:w="2087"/>
        <w:gridCol w:w="1516"/>
        <w:gridCol w:w="1866"/>
        <w:gridCol w:w="1737"/>
        <w:gridCol w:w="1735"/>
      </w:tblGrid>
      <w:tr w:rsidR="00FD628A" w:rsidRPr="00284B4B" w:rsidTr="00284B4B">
        <w:tc>
          <w:tcPr>
            <w:tcW w:w="707" w:type="pct"/>
          </w:tcPr>
          <w:p w:rsidR="00FD628A" w:rsidRPr="00284B4B" w:rsidRDefault="00FD628A" w:rsidP="00284B4B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hint="eastAsia"/>
                <w:color w:val="000000"/>
              </w:rPr>
              <w:t>科目範圍：</w:t>
            </w:r>
          </w:p>
        </w:tc>
        <w:tc>
          <w:tcPr>
            <w:tcW w:w="1002" w:type="pct"/>
          </w:tcPr>
          <w:p w:rsidR="00FD628A" w:rsidRPr="00284B4B" w:rsidRDefault="00FD628A" w:rsidP="00284B4B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hint="eastAsia"/>
                <w:color w:val="000000"/>
              </w:rPr>
              <w:t>高中體育第一冊</w:t>
            </w:r>
          </w:p>
        </w:tc>
        <w:tc>
          <w:tcPr>
            <w:tcW w:w="728" w:type="pct"/>
          </w:tcPr>
          <w:p w:rsidR="00FD628A" w:rsidRPr="00284B4B" w:rsidRDefault="00FD628A" w:rsidP="00284B4B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hint="eastAsia"/>
                <w:color w:val="000000"/>
              </w:rPr>
              <w:t>班級座號：</w:t>
            </w:r>
          </w:p>
        </w:tc>
        <w:tc>
          <w:tcPr>
            <w:tcW w:w="896" w:type="pct"/>
          </w:tcPr>
          <w:p w:rsidR="00FD628A" w:rsidRPr="00284B4B" w:rsidRDefault="00FD628A" w:rsidP="00284B4B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    </w:t>
            </w:r>
            <w:r w:rsidRPr="00284B4B">
              <w:rPr>
                <w:rFonts w:ascii="細明體" w:eastAsia="細明體" w:hAnsi="細明體" w:hint="eastAsia"/>
                <w:color w:val="000000"/>
              </w:rPr>
              <w:t>班</w:t>
            </w:r>
            <w:r w:rsidRPr="00284B4B">
              <w:rPr>
                <w:rFonts w:ascii="細明體" w:eastAsia="細明體" w:hAnsi="細明體"/>
                <w:color w:val="000000"/>
              </w:rPr>
              <w:t xml:space="preserve">     </w:t>
            </w:r>
            <w:r w:rsidRPr="00284B4B">
              <w:rPr>
                <w:rFonts w:ascii="細明體" w:eastAsia="細明體" w:hAnsi="細明體" w:hint="eastAsia"/>
                <w:color w:val="000000"/>
              </w:rPr>
              <w:t>號</w:t>
            </w:r>
          </w:p>
        </w:tc>
        <w:tc>
          <w:tcPr>
            <w:tcW w:w="834" w:type="pct"/>
          </w:tcPr>
          <w:p w:rsidR="00FD628A" w:rsidRPr="00284B4B" w:rsidRDefault="00FD628A" w:rsidP="00284B4B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hint="eastAsia"/>
                <w:color w:val="000000"/>
              </w:rPr>
              <w:t>考生姓名：</w:t>
            </w:r>
          </w:p>
        </w:tc>
        <w:tc>
          <w:tcPr>
            <w:tcW w:w="833" w:type="pct"/>
          </w:tcPr>
          <w:p w:rsidR="00FD628A" w:rsidRPr="00284B4B" w:rsidRDefault="00FD628A" w:rsidP="00284B4B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</w:tr>
      <w:tr w:rsidR="00FD628A" w:rsidRPr="00284B4B" w:rsidTr="00815253">
        <w:tc>
          <w:tcPr>
            <w:tcW w:w="1709" w:type="pct"/>
            <w:gridSpan w:val="2"/>
          </w:tcPr>
          <w:p w:rsidR="00FD628A" w:rsidRPr="00815253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b/>
                <w:color w:val="000000"/>
              </w:rPr>
            </w:pPr>
            <w:r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0"/>
                <w:lang w:val="zh-TW"/>
              </w:rPr>
              <w:t>是否使用</w:t>
            </w:r>
            <w:r w:rsidRPr="00815253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0"/>
                <w:lang w:val="zh-TW"/>
              </w:rPr>
              <w:t>答案卡</w:t>
            </w:r>
            <w:r w:rsidRPr="00815253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0"/>
              </w:rPr>
              <w:t>：</w:t>
            </w:r>
            <w:r w:rsidRPr="00815253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0"/>
                <w:lang w:val="zh-TW"/>
              </w:rPr>
              <w:t>是。</w:t>
            </w:r>
          </w:p>
        </w:tc>
        <w:tc>
          <w:tcPr>
            <w:tcW w:w="728" w:type="pct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896" w:type="pct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834" w:type="pct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833" w:type="pct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</w:tr>
    </w:tbl>
    <w:p w:rsidR="00FD628A" w:rsidRPr="00202B3A" w:rsidRDefault="00FD628A" w:rsidP="00DF5F97">
      <w:pPr>
        <w:spacing w:line="240" w:lineRule="atLeast"/>
        <w:textAlignment w:val="center"/>
        <w:rPr>
          <w:rFonts w:ascii="細明體" w:eastAsia="細明體" w:hAnsi="細明體"/>
          <w:color w:val="000000"/>
          <w:sz w:val="28"/>
          <w:szCs w:val="28"/>
        </w:rPr>
      </w:pPr>
      <w:r w:rsidRPr="00202B3A">
        <w:rPr>
          <w:rFonts w:ascii="細明體" w:eastAsia="細明體" w:hAnsi="細明體" w:hint="eastAsia"/>
          <w:color w:val="000000"/>
          <w:sz w:val="28"/>
          <w:szCs w:val="28"/>
        </w:rPr>
        <w:t>第一部份　是非題　每題</w:t>
      </w:r>
      <w:r w:rsidRPr="00202B3A">
        <w:rPr>
          <w:rFonts w:ascii="細明體" w:eastAsia="細明體" w:hAnsi="細明體"/>
          <w:color w:val="000000"/>
          <w:sz w:val="28"/>
          <w:szCs w:val="28"/>
        </w:rPr>
        <w:t xml:space="preserve"> 2.5 </w:t>
      </w:r>
      <w:r w:rsidRPr="00202B3A">
        <w:rPr>
          <w:rFonts w:ascii="細明體" w:eastAsia="細明體" w:hAnsi="細明體" w:hint="eastAsia"/>
          <w:color w:val="000000"/>
          <w:sz w:val="28"/>
          <w:szCs w:val="28"/>
        </w:rPr>
        <w:t>分</w:t>
      </w:r>
      <w:r>
        <w:rPr>
          <w:rFonts w:ascii="細明體" w:eastAsia="細明體" w:hAnsi="細明體"/>
          <w:color w:val="000000"/>
          <w:sz w:val="28"/>
          <w:szCs w:val="28"/>
        </w:rPr>
        <w:t>(</w:t>
      </w:r>
      <w:r w:rsidRPr="002975EA">
        <w:rPr>
          <w:rFonts w:ascii="細明體" w:eastAsia="細明體" w:hAnsi="細明體" w:hint="eastAsia"/>
          <w:b/>
          <w:color w:val="000000"/>
          <w:sz w:val="28"/>
          <w:szCs w:val="28"/>
          <w:u w:val="wave"/>
        </w:rPr>
        <w:t>答案○填</w:t>
      </w:r>
      <w:r w:rsidRPr="002975EA">
        <w:rPr>
          <w:rFonts w:ascii="細明體" w:eastAsia="細明體" w:hAnsi="細明體"/>
          <w:b/>
          <w:color w:val="000000"/>
          <w:sz w:val="28"/>
          <w:szCs w:val="28"/>
          <w:u w:val="wave"/>
        </w:rPr>
        <w:t>A</w:t>
      </w:r>
      <w:r w:rsidRPr="002975EA">
        <w:rPr>
          <w:rFonts w:ascii="細明體" w:eastAsia="細明體" w:hAnsi="細明體" w:hint="eastAsia"/>
          <w:b/>
          <w:color w:val="000000"/>
          <w:sz w:val="28"/>
          <w:szCs w:val="28"/>
          <w:u w:val="wave"/>
        </w:rPr>
        <w:t>，答案╳填</w:t>
      </w:r>
      <w:r w:rsidRPr="002975EA">
        <w:rPr>
          <w:rFonts w:ascii="細明體" w:eastAsia="細明體" w:hAnsi="細明體"/>
          <w:b/>
          <w:color w:val="000000"/>
          <w:sz w:val="28"/>
          <w:szCs w:val="28"/>
          <w:u w:val="wave"/>
        </w:rPr>
        <w:t>B</w:t>
      </w:r>
      <w:r>
        <w:rPr>
          <w:rFonts w:ascii="細明體" w:eastAsia="細明體" w:hAnsi="細明體"/>
          <w:color w:val="000000"/>
          <w:sz w:val="28"/>
          <w:szCs w:val="28"/>
        </w:rPr>
        <w:t>)</w:t>
      </w:r>
    </w:p>
    <w:tbl>
      <w:tblPr>
        <w:tblW w:w="0" w:type="auto"/>
        <w:tblLook w:val="00A0"/>
      </w:tblPr>
      <w:tblGrid>
        <w:gridCol w:w="1296"/>
        <w:gridCol w:w="9127"/>
      </w:tblGrid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運動可消耗身體的能量，提高基礎代謝率，藉此達到體重控制的效果。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從事水上運動前</w:t>
            </w:r>
            <w:r w:rsidRPr="00D25062">
              <w:rPr>
                <w:rFonts w:ascii="細明體" w:eastAsia="細明體" w:hAnsi="細明體" w:cs="新細明體" w:hint="eastAsia"/>
                <w:color w:val="FF0000"/>
                <w:szCs w:val="24"/>
              </w:rPr>
              <w:t>只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要認真做暖身運動，</w:t>
            </w:r>
            <w:r>
              <w:rPr>
                <w:rFonts w:ascii="細明體" w:eastAsia="細明體" w:hAnsi="細明體" w:cs="新細明體" w:hint="eastAsia"/>
                <w:color w:val="000000"/>
                <w:szCs w:val="24"/>
              </w:rPr>
              <w:t>不需注意身體衛生就可入水游泳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韻律呼吸時，口鼻出水後要趕緊爭取時間以鼻子大量吸氣後入水吐氣。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4.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徑</w:t>
            </w:r>
            <w:bookmarkStart w:id="0" w:name="_GoBack"/>
            <w:bookmarkEnd w:id="0"/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賽中，擺臂挺胸式壓線是終點壓線時雙手向後擺動，因雙手向後擺動時之作用力，產生反作用力，促使身體（胸部）前傾向前觸線。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5.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籃球比賽中，開始運球時，球未離手前，中樞足先行離地是屬於犯規行為。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6.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體適能不用每種都重視，選擇自己喜歡的訓練即可。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7.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排球比賽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自由球員的替補計入普通球員替補次數之中。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8.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籃球比賽若有延長賽，進攻方向應由裁判決定。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9.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田徑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短距離跑是一項古老的運動，也是最早列入古奧林匹克運動會的比賽項目。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10.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羽球發球後球停留在網頂或過網後被網纏住應判重新發球。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11.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</w:t>
            </w:r>
            <w:r>
              <w:rPr>
                <w:rFonts w:ascii="細明體" w:eastAsia="細明體" w:hAnsi="細明體" w:cs="新細明體" w:hint="eastAsia"/>
                <w:color w:val="000000"/>
                <w:szCs w:val="24"/>
              </w:rPr>
              <w:t>中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，雙方比分為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24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：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24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時，先得第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25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分方</w:t>
            </w:r>
            <w:r w:rsidRPr="00D25062">
              <w:rPr>
                <w:rFonts w:ascii="細明體" w:eastAsia="細明體" w:hAnsi="細明體" w:cs="新細明體" w:hint="eastAsia"/>
                <w:color w:val="FF0000"/>
                <w:szCs w:val="24"/>
              </w:rPr>
              <w:t>就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獲勝。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12.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短距離跑項目為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公尺"/>
              </w:smartTagPr>
              <w:r w:rsidRPr="00284B4B">
                <w:rPr>
                  <w:rFonts w:ascii="細明體" w:eastAsia="細明體" w:hAnsi="細明體"/>
                  <w:color w:val="000000"/>
                  <w:szCs w:val="24"/>
                </w:rPr>
                <w:t>100</w:t>
              </w:r>
              <w:r w:rsidRPr="00284B4B">
                <w:rPr>
                  <w:rFonts w:ascii="細明體" w:eastAsia="細明體" w:hAnsi="細明體" w:cs="新細明體" w:hint="eastAsia"/>
                  <w:color w:val="000000"/>
                  <w:szCs w:val="24"/>
                </w:rPr>
                <w:t>公尺</w:t>
              </w:r>
            </w:smartTag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284B4B">
                <w:rPr>
                  <w:rFonts w:ascii="細明體" w:eastAsia="細明體" w:hAnsi="細明體"/>
                  <w:color w:val="000000"/>
                  <w:szCs w:val="24"/>
                </w:rPr>
                <w:t>200</w:t>
              </w:r>
              <w:r w:rsidRPr="00284B4B">
                <w:rPr>
                  <w:rFonts w:ascii="細明體" w:eastAsia="細明體" w:hAnsi="細明體" w:cs="新細明體" w:hint="eastAsia"/>
                  <w:color w:val="000000"/>
                  <w:szCs w:val="24"/>
                </w:rPr>
                <w:t>公尺</w:t>
              </w:r>
            </w:smartTag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尺"/>
              </w:smartTagPr>
              <w:r w:rsidRPr="00284B4B">
                <w:rPr>
                  <w:rFonts w:ascii="細明體" w:eastAsia="細明體" w:hAnsi="細明體"/>
                  <w:color w:val="000000"/>
                  <w:szCs w:val="24"/>
                </w:rPr>
                <w:t>400</w:t>
              </w:r>
              <w:r w:rsidRPr="00284B4B">
                <w:rPr>
                  <w:rFonts w:ascii="細明體" w:eastAsia="細明體" w:hAnsi="細明體" w:cs="新細明體" w:hint="eastAsia"/>
                  <w:color w:val="000000"/>
                  <w:szCs w:val="24"/>
                </w:rPr>
                <w:t>公尺</w:t>
              </w:r>
            </w:smartTag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三個項目。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13.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籃球比賽中，當球員持球時跌倒在地板上，躺或坐在地板上時控制著球，屬於合法沒有走步違例。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14.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籃球比賽中，若發生爭球情形，須依紀錄台指示輪替球權。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15.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田徑比賽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284B4B">
                <w:rPr>
                  <w:rFonts w:ascii="細明體" w:eastAsia="細明體" w:hAnsi="細明體"/>
                  <w:color w:val="000000"/>
                  <w:szCs w:val="24"/>
                </w:rPr>
                <w:t>200</w:t>
              </w:r>
              <w:r w:rsidRPr="00284B4B">
                <w:rPr>
                  <w:rFonts w:ascii="細明體" w:eastAsia="細明體" w:hAnsi="細明體" w:cs="新細明體" w:hint="eastAsia"/>
                  <w:color w:val="000000"/>
                  <w:szCs w:val="24"/>
                </w:rPr>
                <w:t>公尺</w:t>
              </w:r>
            </w:smartTag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項目中，跑者起跑過彎道後，可任意變換跑道。</w:t>
            </w:r>
          </w:p>
        </w:tc>
      </w:tr>
    </w:tbl>
    <w:p w:rsidR="00FD628A" w:rsidRPr="00DF5F97" w:rsidRDefault="00FD628A" w:rsidP="00DF5F97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p w:rsidR="00FD628A" w:rsidRPr="00202B3A" w:rsidRDefault="00FD628A" w:rsidP="00DF5F97">
      <w:pPr>
        <w:spacing w:line="240" w:lineRule="atLeast"/>
        <w:textAlignment w:val="center"/>
        <w:rPr>
          <w:rFonts w:ascii="細明體" w:eastAsia="細明體" w:hAnsi="細明體"/>
          <w:color w:val="000000"/>
          <w:sz w:val="28"/>
          <w:szCs w:val="28"/>
        </w:rPr>
      </w:pPr>
      <w:r w:rsidRPr="00202B3A">
        <w:rPr>
          <w:rFonts w:ascii="細明體" w:eastAsia="細明體" w:hAnsi="細明體" w:hint="eastAsia"/>
          <w:color w:val="000000"/>
          <w:sz w:val="28"/>
          <w:szCs w:val="28"/>
        </w:rPr>
        <w:t>第二部份　選擇題　每題</w:t>
      </w:r>
      <w:r w:rsidRPr="00202B3A">
        <w:rPr>
          <w:rFonts w:ascii="細明體" w:eastAsia="細明體" w:hAnsi="細明體"/>
          <w:color w:val="000000"/>
          <w:sz w:val="28"/>
          <w:szCs w:val="28"/>
        </w:rPr>
        <w:t xml:space="preserve"> 2.5</w:t>
      </w:r>
      <w:r w:rsidRPr="00202B3A">
        <w:rPr>
          <w:rFonts w:ascii="細明體" w:eastAsia="細明體" w:hAnsi="細明體" w:hint="eastAsia"/>
          <w:color w:val="000000"/>
          <w:sz w:val="28"/>
          <w:szCs w:val="28"/>
        </w:rPr>
        <w:t>分</w:t>
      </w:r>
    </w:p>
    <w:tbl>
      <w:tblPr>
        <w:tblW w:w="0" w:type="auto"/>
        <w:tblLook w:val="00A0"/>
      </w:tblPr>
      <w:tblGrid>
        <w:gridCol w:w="1296"/>
        <w:gridCol w:w="9127"/>
      </w:tblGrid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16.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所謂身體組成指的是每個人身體脂肪的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結構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百分比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成長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17.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從事運動時應該注意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運動前不必施行充分的熱身運動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運動必須穿著華麗的運動裝備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運動中隨時適度的補充水分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18.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為增進肌耐力，可選擇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高重量負荷、低反覆次數的運動方式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低重量負荷、高反覆次數的運動方式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高重量負荷、高反覆次數的運動方式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19.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何者不是健康體適能？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速度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肌力與肌耐力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身體組成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20.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水母漂身體在水中的正確姿勢呈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仰身大字漂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團身抱腿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伏身大字漂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21.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水中站立動作可分為</w: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6" o:spid="_x0000_i1025" type="#_x0000_t75" style="width:10.5pt;height:10.5pt;visibility:visible">
                  <v:imagedata r:id="rId4" o:title=""/>
                </v:shape>
              </w:pic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著地、</w: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5" o:spid="_x0000_i1026" type="#_x0000_t75" style="width:10.5pt;height:10.5pt;visibility:visible">
                  <v:imagedata r:id="rId5" o:title=""/>
                </v:shape>
              </w:pic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划手、</w: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4" o:spid="_x0000_i1027" type="#_x0000_t75" style="width:10.5pt;height:10.5pt;visibility:visible">
                  <v:imagedata r:id="rId6" o:title=""/>
                </v:shape>
              </w:pic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抬頭、</w: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3" o:spid="_x0000_i1028" type="#_x0000_t75" style="width:10.5pt;height:10.5pt;visibility:visible">
                  <v:imagedata r:id="rId7" o:title=""/>
                </v:shape>
              </w:pic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收腿，對初學者最好的步驟為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2" o:spid="_x0000_i1029" type="#_x0000_t75" style="width:10.5pt;height:10.5pt;visibility:visible">
                  <v:imagedata r:id="rId5" o:title=""/>
                </v:shape>
              </w:pic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1" o:spid="_x0000_i1030" type="#_x0000_t75" style="width:10.5pt;height:10.5pt;visibility:visible">
                  <v:imagedata r:id="rId7" o:title=""/>
                </v:shape>
              </w:pic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0" o:spid="_x0000_i1031" type="#_x0000_t75" style="width:10.5pt;height:10.5pt;visibility:visible">
                  <v:imagedata r:id="rId4" o:title=""/>
                </v:shape>
              </w:pic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9" o:spid="_x0000_i1032" type="#_x0000_t75" style="width:10.5pt;height:10.5pt;visibility:visible">
                  <v:imagedata r:id="rId6" o:title=""/>
                </v:shape>
              </w:pic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8" o:spid="_x0000_i1033" type="#_x0000_t75" style="width:10.5pt;height:10.5pt;visibility:visible">
                  <v:imagedata r:id="rId5" o:title=""/>
                </v:shape>
              </w:pic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7" o:spid="_x0000_i1034" type="#_x0000_t75" style="width:10.5pt;height:10.5pt;visibility:visible">
                  <v:imagedata r:id="rId4" o:title=""/>
                </v:shape>
              </w:pic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6" o:spid="_x0000_i1035" type="#_x0000_t75" style="width:10.5pt;height:10.5pt;visibility:visible">
                  <v:imagedata r:id="rId6" o:title=""/>
                </v:shape>
              </w:pic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5" o:spid="_x0000_i1036" type="#_x0000_t75" style="width:10.5pt;height:10.5pt;visibility:visible">
                  <v:imagedata r:id="rId7" o:title=""/>
                </v:shape>
              </w:pic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4" o:spid="_x0000_i1037" type="#_x0000_t75" style="width:10.5pt;height:10.5pt;visibility:visible">
                  <v:imagedata r:id="rId7" o:title=""/>
                </v:shape>
              </w:pic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3" o:spid="_x0000_i1038" type="#_x0000_t75" style="width:10.5pt;height:10.5pt;visibility:visible">
                  <v:imagedata r:id="rId5" o:title=""/>
                </v:shape>
              </w:pic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2" o:spid="_x0000_i1039" type="#_x0000_t75" style="width:10.5pt;height:10.5pt;visibility:visible">
                  <v:imagedata r:id="rId4" o:title=""/>
                </v:shape>
              </w:pict>
            </w:r>
            <w:r w:rsidRPr="004607DA">
              <w:rPr>
                <w:rFonts w:ascii="細明體" w:eastAsia="細明體" w:hAnsi="細明體" w:cs="新細明體"/>
                <w:noProof/>
                <w:color w:val="000000"/>
                <w:kern w:val="0"/>
                <w:szCs w:val="20"/>
              </w:rPr>
              <w:pict>
                <v:shape id="圖片 1" o:spid="_x0000_i1040" type="#_x0000_t75" style="width:10.5pt;height:10.5pt;visibility:visible">
                  <v:imagedata r:id="rId6" o:title=""/>
                </v:shape>
              </w:pic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22.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正確的樓梯入水法是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背向水池的方式下泳池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面向水池的方式下泳池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以上皆可的方式下泳池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23.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排球比賽中，球員發球順序應以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逆時針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順時針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按球衣號碼進行輪轉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0" w:type="auto"/>
          </w:tcPr>
          <w:p w:rsidR="00FD628A" w:rsidRPr="00284B4B" w:rsidRDefault="00FD628A" w:rsidP="00815253">
            <w:pPr>
              <w:spacing w:line="240" w:lineRule="atLeast"/>
              <w:jc w:val="center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 w:val="32"/>
                <w:szCs w:val="32"/>
              </w:rPr>
              <w:t>【背面尚有題目】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24.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排球比賽規則下列何者為非？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發球時球觸網落入對方的界內，應判重發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當比數到達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24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：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24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，須連勝對方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2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分，比賽方結束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採落地得分制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25.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排球比賽規則允許每隊球員每局最多的替補人次為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5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6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7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26.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球員越出無障礙區將球擊回，視為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不算犯規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惡性犯規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27.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籃球球員開始運球，球未離手之前，中樞足先行離地，應判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犯規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暫停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28.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下列何者非臺灣籃球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SBL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培育之籃球選手？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田壘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林書豪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陳信安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29.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籃球比賽中強迫推開或企圖推開對手的身體接觸稱之為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撞人犯規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推人犯規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30.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下列何者是最早列入古奧林匹克運動會的田徑比賽項目？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跳高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馬拉松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31.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短距離徑賽起跑時，選手都會採用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蹲踞式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三點蹲伏式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站立式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32.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何者不為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田徑比賽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短距離跑項目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公尺"/>
              </w:smartTagPr>
              <w:r w:rsidRPr="00284B4B">
                <w:rPr>
                  <w:rFonts w:ascii="細明體" w:eastAsia="細明體" w:hAnsi="細明體"/>
                  <w:color w:val="000000"/>
                  <w:szCs w:val="24"/>
                </w:rPr>
                <w:t>100</w:t>
              </w:r>
              <w:r w:rsidRPr="00284B4B">
                <w:rPr>
                  <w:rFonts w:ascii="細明體" w:eastAsia="細明體" w:hAnsi="細明體" w:cs="新細明體" w:hint="eastAsia"/>
                  <w:color w:val="000000"/>
                  <w:szCs w:val="24"/>
                </w:rPr>
                <w:t>公尺</w:t>
              </w:r>
            </w:smartTag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284B4B">
                <w:rPr>
                  <w:rFonts w:ascii="細明體" w:eastAsia="細明體" w:hAnsi="細明體"/>
                  <w:color w:val="000000"/>
                  <w:szCs w:val="24"/>
                </w:rPr>
                <w:t>200</w:t>
              </w:r>
              <w:r w:rsidRPr="00284B4B">
                <w:rPr>
                  <w:rFonts w:ascii="細明體" w:eastAsia="細明體" w:hAnsi="細明體" w:cs="新細明體" w:hint="eastAsia"/>
                  <w:color w:val="000000"/>
                  <w:szCs w:val="24"/>
                </w:rPr>
                <w:t>公尺</w:t>
              </w:r>
            </w:smartTag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公尺"/>
              </w:smartTagPr>
              <w:r w:rsidRPr="00284B4B">
                <w:rPr>
                  <w:rFonts w:ascii="細明體" w:eastAsia="細明體" w:hAnsi="細明體"/>
                  <w:color w:val="000000"/>
                  <w:szCs w:val="24"/>
                </w:rPr>
                <w:t>800</w:t>
              </w:r>
              <w:r w:rsidRPr="00284B4B">
                <w:rPr>
                  <w:rFonts w:ascii="細明體" w:eastAsia="細明體" w:hAnsi="細明體" w:cs="新細明體" w:hint="eastAsia"/>
                  <w:color w:val="000000"/>
                  <w:szCs w:val="24"/>
                </w:rPr>
                <w:t>公尺</w:t>
              </w:r>
            </w:smartTag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33.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短距離跑衝線時，需以身體何部位抵達終點線內緣之垂直面？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手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頭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軀幹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34.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羽球比賽時，如接球員未準備好，發球員即發球，應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繼續比賽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重新發球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發球失誤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35.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羽球比賽中接球員及發球員同時犯規，應判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重新發球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犯規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繼續比賽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36.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為增進肌力，可選擇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高重量負荷、低反覆次數的運動方式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低重量負荷、高反覆次數的運動方式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高重量負荷、高反覆次數的運動方式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37.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排球比賽中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比數</w:t>
            </w:r>
            <w:r w:rsidRPr="00284B4B">
              <w:rPr>
                <w:rFonts w:ascii="細明體" w:eastAsia="細明體" w:hAnsi="細明體" w:cs="新細明體"/>
                <w:color w:val="000000"/>
                <w:szCs w:val="24"/>
              </w:rPr>
              <w:t>24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：</w:t>
            </w:r>
            <w:r w:rsidRPr="00284B4B">
              <w:rPr>
                <w:rFonts w:ascii="細明體" w:eastAsia="細明體" w:hAnsi="細明體" w:cs="新細明體"/>
                <w:color w:val="000000"/>
                <w:szCs w:val="24"/>
              </w:rPr>
              <w:t>24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時或決勝局</w:t>
            </w:r>
            <w:r w:rsidRPr="00284B4B">
              <w:rPr>
                <w:rFonts w:ascii="細明體" w:eastAsia="細明體" w:hAnsi="細明體" w:cs="新細明體"/>
                <w:color w:val="000000"/>
                <w:szCs w:val="24"/>
              </w:rPr>
              <w:t>14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：</w:t>
            </w:r>
            <w:r w:rsidRPr="00284B4B">
              <w:rPr>
                <w:rFonts w:ascii="細明體" w:eastAsia="細明體" w:hAnsi="細明體" w:cs="新細明體"/>
                <w:color w:val="000000"/>
                <w:szCs w:val="24"/>
              </w:rPr>
              <w:t>14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時，須連續領先對隊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</w:t>
            </w:r>
            <w:r>
              <w:rPr>
                <w:rFonts w:ascii="細明體" w:eastAsia="細明體" w:hAnsi="細明體" w:cs="新細明體"/>
                <w:color w:val="000000"/>
                <w:szCs w:val="24"/>
              </w:rPr>
              <w:t>1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分為勝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/>
                <w:color w:val="000000"/>
                <w:szCs w:val="24"/>
              </w:rPr>
              <w:t>3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分為勝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/>
                <w:color w:val="000000"/>
                <w:szCs w:val="24"/>
              </w:rPr>
              <w:t>2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分為勝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38.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下列何者非台灣籃球</w:t>
            </w:r>
            <w:r w:rsidRPr="00284B4B">
              <w:rPr>
                <w:rFonts w:ascii="細明體" w:eastAsia="細明體" w:hAnsi="細明體"/>
                <w:color w:val="000000"/>
                <w:szCs w:val="24"/>
              </w:rPr>
              <w:t>SBL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隊伍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裕隆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國泰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台啤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39.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下列何者為徑賽項目？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跳遠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284B4B">
                <w:rPr>
                  <w:rFonts w:ascii="細明體" w:eastAsia="細明體" w:hAnsi="細明體"/>
                  <w:color w:val="000000"/>
                  <w:szCs w:val="24"/>
                </w:rPr>
                <w:t>200</w:t>
              </w:r>
              <w:r w:rsidRPr="00284B4B">
                <w:rPr>
                  <w:rFonts w:ascii="細明體" w:eastAsia="細明體" w:hAnsi="細明體" w:cs="新細明體" w:hint="eastAsia"/>
                  <w:color w:val="000000"/>
                  <w:szCs w:val="24"/>
                </w:rPr>
                <w:t>公尺</w:t>
              </w:r>
            </w:smartTag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標槍</w:t>
            </w:r>
          </w:p>
        </w:tc>
      </w:tr>
      <w:tr w:rsidR="00FD628A" w:rsidRPr="00284B4B" w:rsidTr="00284B4B">
        <w:tc>
          <w:tcPr>
            <w:tcW w:w="0" w:type="auto"/>
            <w:noWrap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/>
                <w:color w:val="000000"/>
              </w:rPr>
              <w:t xml:space="preserve">(   ) 40. </w:t>
            </w:r>
          </w:p>
        </w:tc>
        <w:tc>
          <w:tcPr>
            <w:tcW w:w="0" w:type="auto"/>
          </w:tcPr>
          <w:p w:rsidR="00FD628A" w:rsidRPr="00284B4B" w:rsidRDefault="00FD628A" w:rsidP="00284B4B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284B4B">
              <w:rPr>
                <w:rFonts w:ascii="細明體" w:eastAsia="細明體" w:hAnsi="細明體" w:cs="新細明體" w:hint="eastAsia"/>
                <w:color w:val="000000"/>
                <w:szCs w:val="24"/>
              </w:rPr>
              <w:t>做仰漂時那一個動作錯誤？</w:t>
            </w:r>
            <w:r w:rsidRPr="00284B4B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284B4B">
              <w:rPr>
                <w:rFonts w:ascii="細明體" w:eastAsia="細明體" w:hAnsi="細明體" w:cs="細明體" w:hint="eastAsia"/>
                <w:color w:val="000000"/>
                <w:szCs w:val="24"/>
              </w:rPr>
              <w:t>抬頭挺胸</w:t>
            </w:r>
            <w:r w:rsidRPr="00284B4B">
              <w:rPr>
                <w:rFonts w:ascii="細明體" w:eastAsia="細明體" w:hAnsi="細明體" w:cs="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284B4B">
              <w:rPr>
                <w:rFonts w:ascii="細明體" w:eastAsia="細明體" w:hAnsi="細明體" w:cs="細明體" w:hint="eastAsia"/>
                <w:color w:val="000000"/>
                <w:szCs w:val="24"/>
              </w:rPr>
              <w:t>悶氣</w:t>
            </w:r>
            <w:r w:rsidRPr="00284B4B">
              <w:rPr>
                <w:rFonts w:ascii="細明體" w:eastAsia="細明體" w:hAnsi="細明體" w:cs="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284B4B">
              <w:rPr>
                <w:rFonts w:ascii="細明體" w:eastAsia="細明體" w:hAnsi="細明體" w:cs="細明體" w:hint="eastAsia"/>
                <w:color w:val="000000"/>
                <w:szCs w:val="24"/>
              </w:rPr>
              <w:t>手向頭後方伸展</w:t>
            </w:r>
          </w:p>
        </w:tc>
      </w:tr>
    </w:tbl>
    <w:p w:rsidR="00FD628A" w:rsidRPr="00DF5F97" w:rsidRDefault="00FD628A" w:rsidP="00DF5F97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p w:rsidR="00FD628A" w:rsidRPr="00DF5F97" w:rsidRDefault="00FD628A" w:rsidP="00453631">
      <w:pPr>
        <w:spacing w:line="240" w:lineRule="atLeast"/>
        <w:jc w:val="center"/>
        <w:textAlignment w:val="center"/>
        <w:rPr>
          <w:rFonts w:ascii="細明體" w:eastAsia="細明體" w:hAnsi="細明體"/>
          <w:color w:val="000000"/>
        </w:rPr>
      </w:pPr>
      <w:r w:rsidRPr="00453631">
        <w:rPr>
          <w:rFonts w:ascii="細明體" w:eastAsia="細明體" w:hAnsi="細明體" w:cs="新細明體" w:hint="eastAsia"/>
          <w:color w:val="000000"/>
          <w:sz w:val="32"/>
          <w:szCs w:val="32"/>
        </w:rPr>
        <w:t>【</w:t>
      </w:r>
      <w:r>
        <w:rPr>
          <w:rFonts w:ascii="細明體" w:eastAsia="細明體" w:hAnsi="細明體" w:cs="新細明體" w:hint="eastAsia"/>
          <w:color w:val="000000"/>
          <w:sz w:val="32"/>
          <w:szCs w:val="32"/>
        </w:rPr>
        <w:t>請再檢查是否有遺漏之處</w:t>
      </w:r>
      <w:r>
        <w:rPr>
          <w:rFonts w:ascii="細明體" w:eastAsia="細明體" w:hAnsi="細明體" w:cs="新細明體"/>
          <w:color w:val="000000"/>
          <w:sz w:val="32"/>
          <w:szCs w:val="32"/>
        </w:rPr>
        <w:t>!</w:t>
      </w:r>
      <w:r w:rsidRPr="00453631">
        <w:rPr>
          <w:rFonts w:ascii="細明體" w:eastAsia="細明體" w:hAnsi="細明體" w:cs="新細明體" w:hint="eastAsia"/>
          <w:color w:val="000000"/>
          <w:sz w:val="32"/>
          <w:szCs w:val="32"/>
        </w:rPr>
        <w:t>】</w:t>
      </w:r>
    </w:p>
    <w:sectPr w:rsidR="00FD628A" w:rsidRPr="00DF5F97" w:rsidSect="00DF5F97">
      <w:pgSz w:w="11907" w:h="16839"/>
      <w:pgMar w:top="850" w:right="850" w:bottom="850" w:left="85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F97"/>
    <w:rsid w:val="000602EC"/>
    <w:rsid w:val="00096C15"/>
    <w:rsid w:val="00202B3A"/>
    <w:rsid w:val="002177CA"/>
    <w:rsid w:val="00284B4B"/>
    <w:rsid w:val="002975EA"/>
    <w:rsid w:val="00453631"/>
    <w:rsid w:val="004607DA"/>
    <w:rsid w:val="005F4BA3"/>
    <w:rsid w:val="007E7BCB"/>
    <w:rsid w:val="00815253"/>
    <w:rsid w:val="008619A9"/>
    <w:rsid w:val="00C0672F"/>
    <w:rsid w:val="00C44A6C"/>
    <w:rsid w:val="00C96486"/>
    <w:rsid w:val="00D25062"/>
    <w:rsid w:val="00DF5F97"/>
    <w:rsid w:val="00E70AFD"/>
    <w:rsid w:val="00FD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6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F5F9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381</Words>
  <Characters>2174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國立臺東高級中學104學年度第一學期 高一體育科 期末筆試</dc:title>
  <dc:subject/>
  <dc:creator>Teacher</dc:creator>
  <cp:keywords/>
  <dc:description/>
  <cp:lastModifiedBy>pttsh</cp:lastModifiedBy>
  <cp:revision>10</cp:revision>
  <dcterms:created xsi:type="dcterms:W3CDTF">2016-01-05T02:27:00Z</dcterms:created>
  <dcterms:modified xsi:type="dcterms:W3CDTF">2016-01-05T03:28:00Z</dcterms:modified>
</cp:coreProperties>
</file>